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lineRule="auto" w:line="360" w:beforeAutospacing="0" w:before="0" w:afterAutospacing="0" w:after="0"/>
        <w:jc w:val="center"/>
        <w:rPr>
          <w:rFonts w:ascii="Century Gothic" w:hAnsi="Century Gothic"/>
        </w:rPr>
      </w:pPr>
      <w:r>
        <w:rPr>
          <w:rFonts w:ascii="Century Gothic" w:hAnsi="Century Gothic"/>
          <w:bCs/>
          <w:color w:themeColor="text1" w:val="000000"/>
          <w:sz w:val="28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243840</wp:posOffset>
            </wp:positionH>
            <wp:positionV relativeFrom="paragraph">
              <wp:posOffset>-290195</wp:posOffset>
            </wp:positionV>
            <wp:extent cx="1120775" cy="55626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5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center"/>
        <w:rPr>
          <w:rFonts w:ascii="Century Gothic" w:hAnsi="Century Gothic"/>
        </w:rPr>
      </w:pPr>
      <w:r>
        <w:rPr>
          <w:rFonts w:ascii="Century Gothic" w:hAnsi="Century Gothic"/>
          <w:bCs/>
          <w:color w:themeColor="text1" w:val="000000"/>
          <w:sz w:val="28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130810</wp:posOffset>
                </wp:positionV>
                <wp:extent cx="6677025" cy="9525"/>
                <wp:effectExtent l="18415" t="18415" r="18415" b="18415"/>
                <wp:wrapNone/>
                <wp:docPr id="2" name="Lini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676920" cy="9360"/>
                        </a:xfrm>
                        <a:prstGeom prst="line">
                          <a:avLst/>
                        </a:prstGeom>
                        <a:ln w="3672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31.95pt,10.3pt" to="493.75pt,11pt" stroked="t" o:allowincell="f" style="position:absolute;flip:y">
                <v:stroke color="#3465a4" weight="3672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center"/>
        <w:rPr/>
      </w:pPr>
      <w:r>
        <w:rPr>
          <w:rFonts w:ascii="Century Gothic" w:hAnsi="Century Gothic"/>
          <w:bCs/>
          <w:color w:themeColor="text1" w:val="000000"/>
          <w:sz w:val="28"/>
        </w:rPr>
        <w:t xml:space="preserve">REGULAMIN UDOSTĘPNIANIA DOKUMENTACJI MEDYCZNEJ                              </w:t>
      </w:r>
      <w:r>
        <w:rPr>
          <w:rFonts w:ascii="Century Gothic" w:hAnsi="Century Gothic"/>
          <w:bCs/>
          <w:color w:themeColor="text1" w:val="000000"/>
        </w:rPr>
        <w:br/>
        <w:t xml:space="preserve">w podmiocie leczniczym </w:t>
      </w:r>
      <w:r>
        <w:rPr>
          <w:rFonts w:ascii="Century Gothic" w:hAnsi="Century Gothic"/>
          <w:bCs/>
          <w:color w:themeColor="text1" w:val="000000"/>
          <w:sz w:val="22"/>
          <w:szCs w:val="22"/>
        </w:rPr>
        <w:t xml:space="preserve">PERIOMEDICA </w:t>
      </w:r>
      <w:r>
        <w:rPr>
          <w:rFonts w:ascii="Century Gothic" w:hAnsi="Century Gothic"/>
          <w:sz w:val="22"/>
          <w:szCs w:val="22"/>
        </w:rPr>
        <w:t xml:space="preserve">CENTRUM MEDYCZNE SMILDENT SP. Z O.O.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center"/>
        <w:rPr/>
      </w:pPr>
      <w:r>
        <w:rPr>
          <w:rFonts w:ascii="Century Gothic" w:hAnsi="Century Gothic"/>
          <w:bCs/>
          <w:color w:themeColor="text1" w:val="000000"/>
        </w:rPr>
        <w:t xml:space="preserve">-  </w:t>
      </w:r>
      <w:r>
        <w:rPr>
          <w:rFonts w:ascii="Century Gothic" w:hAnsi="Century Gothic"/>
        </w:rPr>
        <w:t>Dr n. med. Joanny Sitko-Gap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start"/>
        <w:rPr>
          <w:sz w:val="22"/>
          <w:szCs w:val="22"/>
        </w:rPr>
      </w:pPr>
      <w:r>
        <w:rPr>
          <w:rFonts w:ascii="Century Gothic" w:hAnsi="Century Gothic"/>
          <w:b/>
          <w:bCs/>
          <w:color w:themeColor="text1" w:val="000000"/>
          <w:sz w:val="22"/>
          <w:szCs w:val="22"/>
        </w:rPr>
        <w:t xml:space="preserve">Podstawy prawne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ind w:start="1080"/>
        <w:jc w:val="start"/>
        <w:rPr>
          <w:sz w:val="22"/>
          <w:szCs w:val="22"/>
        </w:rPr>
      </w:pPr>
      <w:r>
        <w:rPr>
          <w:rFonts w:ascii="Century Gothic" w:hAnsi="Century Gothic"/>
          <w:color w:themeColor="text1" w:val="000000"/>
          <w:sz w:val="22"/>
          <w:szCs w:val="22"/>
        </w:rPr>
        <w:t xml:space="preserve">Podstawa prawną dla niniejszego Regulaminu jest: </w:t>
      </w:r>
    </w:p>
    <w:p>
      <w:pPr>
        <w:pStyle w:val="Default"/>
        <w:numPr>
          <w:ilvl w:val="0"/>
          <w:numId w:val="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Ustawa z dnia 6 listopada 2008 r. o prawach pacjenta i Rzeczniku Praw Pacjenta  </w:t>
      </w:r>
    </w:p>
    <w:p>
      <w:pPr>
        <w:pStyle w:val="Default"/>
        <w:numPr>
          <w:ilvl w:val="0"/>
          <w:numId w:val="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Ustawa z dnia 13 października 1998 r. o systemie ubezpieczeń społecznych </w:t>
      </w:r>
    </w:p>
    <w:p>
      <w:pPr>
        <w:pStyle w:val="Default"/>
        <w:numPr>
          <w:ilvl w:val="0"/>
          <w:numId w:val="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Ustawa z dnia 17 grudnia 1998 r. o emeryturach i rentach z Funduszu Ubezpieczeń Społecznych</w:t>
      </w:r>
    </w:p>
    <w:p>
      <w:pPr>
        <w:pStyle w:val="Default"/>
        <w:numPr>
          <w:ilvl w:val="0"/>
          <w:numId w:val="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Rozporządzenie Ministra Zdrowia z dnia 9 listopada 2015 r. w sprawie rodzajów, zakresu i wzorów dokumentacji medycznej oraz sposobu jej przetwarzania </w:t>
      </w:r>
    </w:p>
    <w:p>
      <w:pPr>
        <w:pStyle w:val="Default"/>
        <w:numPr>
          <w:ilvl w:val="0"/>
          <w:numId w:val="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Ustawa z dnia 28 kwietnia 2011 r. o systemie informacji w ochronie zdrowia </w:t>
      </w:r>
    </w:p>
    <w:p>
      <w:pPr>
        <w:pStyle w:val="Default"/>
        <w:numPr>
          <w:ilvl w:val="0"/>
          <w:numId w:val="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Ustawa z dnia 10 maja 2018 r. o ochronie danych osobowych </w:t>
      </w:r>
    </w:p>
    <w:p>
      <w:pPr>
        <w:pStyle w:val="Default"/>
        <w:numPr>
          <w:ilvl w:val="0"/>
          <w:numId w:val="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Rozporządzenie Parlamentu Europejskiego i Rady (UE) 2016/679 z dnia 27 kwietnia 2016r. w sprawie ochrony osób fizycznych w związku z przetwarzaniem danych osobowych i w sprawie swobodnego przepływu takich danych oraz uchylenia dyrektywy 95/46/WE (Dz. Urz. UE L 119 z 04.05.2016 r.)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ind w:start="1080"/>
        <w:jc w:val="start"/>
        <w:rPr>
          <w:rFonts w:ascii="Century Gothic" w:hAnsi="Century Gothic"/>
          <w:b/>
          <w:bCs/>
          <w:color w:themeColor="text1" w:val="000000"/>
          <w:sz w:val="22"/>
          <w:szCs w:val="22"/>
        </w:rPr>
      </w:pPr>
      <w:r>
        <w:rPr>
          <w:rFonts w:ascii="Century Gothic" w:hAnsi="Century Gothic"/>
          <w:b/>
          <w:bCs/>
          <w:color w:themeColor="text1" w:val="000000"/>
          <w:sz w:val="22"/>
          <w:szCs w:val="22"/>
        </w:rPr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start"/>
        <w:rPr>
          <w:sz w:val="24"/>
          <w:szCs w:val="24"/>
        </w:rPr>
      </w:pPr>
      <w:r>
        <w:rPr>
          <w:rFonts w:ascii="Century Gothic" w:hAnsi="Century Gothic"/>
          <w:b/>
          <w:bCs/>
          <w:color w:themeColor="text1" w:val="000000"/>
          <w:sz w:val="24"/>
          <w:szCs w:val="24"/>
        </w:rPr>
        <w:t xml:space="preserve">Zakres stosowania i definicje </w:t>
      </w:r>
    </w:p>
    <w:p>
      <w:pPr>
        <w:pStyle w:val="Default"/>
        <w:numPr>
          <w:ilvl w:val="0"/>
          <w:numId w:val="4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Niniejszy Regulamin określa: </w:t>
      </w:r>
    </w:p>
    <w:p>
      <w:pPr>
        <w:pStyle w:val="Default"/>
        <w:numPr>
          <w:ilvl w:val="0"/>
          <w:numId w:val="3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osoby i podmioty uprawnione do dostępu do dokumentacji medycznej, </w:t>
      </w:r>
    </w:p>
    <w:p>
      <w:pPr>
        <w:pStyle w:val="Default"/>
        <w:numPr>
          <w:ilvl w:val="0"/>
          <w:numId w:val="3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zasady udostępniania dokumentacji medycznej,</w:t>
      </w:r>
    </w:p>
    <w:p>
      <w:pPr>
        <w:pStyle w:val="Default"/>
        <w:numPr>
          <w:ilvl w:val="0"/>
          <w:numId w:val="3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zasady pobierania opłat,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pomocnicze wnioski i upoważnienia obowiązujące w </w:t>
      </w:r>
      <w:r>
        <w:rPr>
          <w:rFonts w:ascii="Century Gothic" w:hAnsi="Century Gothic"/>
          <w:bCs/>
          <w:color w:themeColor="text1" w:val="000000"/>
          <w:sz w:val="22"/>
          <w:szCs w:val="22"/>
        </w:rPr>
        <w:t>podmiocie leczniczym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sz w:val="22"/>
          <w:szCs w:val="22"/>
        </w:rPr>
      </w:pPr>
      <w:r>
        <w:rPr>
          <w:rFonts w:ascii="Century Gothic" w:hAnsi="Century Gothic"/>
          <w:bCs/>
          <w:color w:themeColor="text1" w:val="000000"/>
          <w:sz w:val="22"/>
          <w:szCs w:val="22"/>
        </w:rPr>
        <w:t xml:space="preserve"> </w:t>
      </w:r>
      <w:r>
        <w:rPr>
          <w:rFonts w:ascii="Century Gothic" w:hAnsi="Century Gothic"/>
          <w:bCs/>
          <w:color w:themeColor="text1" w:val="000000"/>
          <w:sz w:val="22"/>
          <w:szCs w:val="22"/>
        </w:rPr>
        <w:t>P</w:t>
      </w:r>
      <w:r>
        <w:rPr>
          <w:rFonts w:ascii="Century Gothic" w:hAnsi="Century Gothic"/>
          <w:bCs/>
          <w:color w:themeColor="text1" w:val="000000"/>
          <w:sz w:val="22"/>
          <w:szCs w:val="22"/>
        </w:rPr>
        <w:t xml:space="preserve">ERIOMEDICA CENTRUM MEDYCZNE SMILDENT SP. Z O.O.  </w:t>
      </w:r>
      <w:r>
        <w:rPr>
          <w:rFonts w:ascii="Century Gothic" w:hAnsi="Century Gothic"/>
          <w:sz w:val="22"/>
          <w:szCs w:val="22"/>
        </w:rPr>
        <w:t xml:space="preserve">w zakresie udostępniania dokumentacji medycznej. </w:t>
      </w:r>
    </w:p>
    <w:p>
      <w:pPr>
        <w:pStyle w:val="Default"/>
        <w:spacing w:lineRule="auto" w:line="360"/>
        <w:ind w:start="360"/>
        <w:jc w:val="start"/>
        <w:rPr>
          <w:rFonts w:ascii="Century Gothic" w:hAnsi="Century Gothic" w:cs="Times New Roman"/>
          <w:color w:val="auto"/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</w:r>
    </w:p>
    <w:p>
      <w:pPr>
        <w:pStyle w:val="Default"/>
        <w:spacing w:lineRule="auto" w:line="360"/>
        <w:ind w:start="360"/>
        <w:jc w:val="start"/>
        <w:rPr>
          <w:rFonts w:ascii="Century Gothic" w:hAnsi="Century Gothic" w:cs="Times New Roman"/>
          <w:color w:val="auto"/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</w:r>
    </w:p>
    <w:p>
      <w:pPr>
        <w:pStyle w:val="Default"/>
        <w:spacing w:lineRule="auto" w:line="360"/>
        <w:ind w:start="360"/>
        <w:jc w:val="start"/>
        <w:rPr>
          <w:rFonts w:ascii="Century Gothic" w:hAnsi="Century Gothic" w:cs="Times New Roman"/>
          <w:color w:val="auto"/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</w:r>
    </w:p>
    <w:p>
      <w:pPr>
        <w:pStyle w:val="Default"/>
        <w:spacing w:lineRule="auto" w:line="360"/>
        <w:ind w:start="360"/>
        <w:jc w:val="start"/>
        <w:rPr>
          <w:rFonts w:ascii="Century Gothic" w:hAnsi="Century Gothic" w:cs="Times New Roman"/>
          <w:color w:val="auto"/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 xml:space="preserve">2. Użyte w niniejszym Regulaminie określenia oznaczają: </w:t>
      </w:r>
    </w:p>
    <w:p>
      <w:pPr>
        <w:pStyle w:val="Default"/>
        <w:numPr>
          <w:ilvl w:val="0"/>
          <w:numId w:val="5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 xml:space="preserve">wyciąg - skrótowy dokument zawierający wybrane informacje lub dane z całości dokumentacji medycznej; </w:t>
      </w:r>
    </w:p>
    <w:p>
      <w:pPr>
        <w:pStyle w:val="Default"/>
        <w:numPr>
          <w:ilvl w:val="0"/>
          <w:numId w:val="5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 xml:space="preserve">odpis - dokument wytworzony przez przepisanie tekstu z oryginału dokumentacji medycznej z wiernym zachowaniem zgodności co do treści z oryginałem; </w:t>
      </w:r>
    </w:p>
    <w:p>
      <w:pPr>
        <w:pStyle w:val="Default"/>
        <w:numPr>
          <w:ilvl w:val="0"/>
          <w:numId w:val="5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 xml:space="preserve">kopia - dokument wytworzony przez odwzorowanie oryginału dokumentacji medycznej, w formie wydruku/kserokopii albo odwzorowania cyfrowego (skanu); </w:t>
      </w:r>
    </w:p>
    <w:p>
      <w:pPr>
        <w:pStyle w:val="Default"/>
        <w:numPr>
          <w:ilvl w:val="0"/>
          <w:numId w:val="5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>osoba upoważniona przez pacjenta  – osoba wskazana przez pacjenta do odbioru dokumentacji medycznej.</w:t>
      </w:r>
    </w:p>
    <w:p>
      <w:pPr>
        <w:pStyle w:val="Default"/>
        <w:numPr>
          <w:ilvl w:val="0"/>
          <w:numId w:val="5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osoba bliska - małżonek, krewny do drugiego stopnia lub powinowaty do drugiego stopnia w linii prostej, przedstawiciel ustawowy, ale także osoba pozostająca we wspólnym pożyciu lub osoba wskazana przez pacjenta.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start"/>
        <w:rPr>
          <w:sz w:val="24"/>
          <w:szCs w:val="24"/>
        </w:rPr>
      </w:pPr>
      <w:r>
        <w:rPr>
          <w:rFonts w:ascii="Century Gothic" w:hAnsi="Century Gothic"/>
          <w:bCs/>
          <w:i/>
          <w:color w:themeColor="text1" w:val="000000"/>
          <w:sz w:val="24"/>
          <w:szCs w:val="24"/>
        </w:rPr>
        <w:t>Część a. Osoby i podmioty uprawnione do dostępu do dokumentacji medycznej</w:t>
      </w:r>
    </w:p>
    <w:p>
      <w:pPr>
        <w:pStyle w:val="Default"/>
        <w:numPr>
          <w:ilvl w:val="0"/>
          <w:numId w:val="6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Dokumentację medyczną udostępnia się pacjentowi lub jego przedstawicielowi ustawowemu, bądź osobie upoważnionej przez pacjenta. 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start"/>
        <w:rPr/>
      </w:pPr>
      <w:r>
        <w:rPr>
          <w:rFonts w:cs="Times New Roman" w:ascii="Century Gothic" w:hAnsi="Century Gothic"/>
          <w:sz w:val="22"/>
          <w:szCs w:val="22"/>
        </w:rPr>
        <w:t xml:space="preserve">Po śmierci pacjenta, dokumentacja medyczna jest udostępniana osobie upoważnionej przez pacjenta za życia lub osobie, która w chwili zgonu pacjenta była jego przedstawicielem ustawowym. </w:t>
      </w:r>
      <w:r>
        <w:rPr>
          <w:rFonts w:eastAsia="Times New Roman" w:cs="Times New Roman" w:ascii="Century Gothic" w:hAnsi="Century Gothic"/>
          <w:sz w:val="22"/>
          <w:szCs w:val="22"/>
          <w:lang w:eastAsia="pl-PL"/>
        </w:rPr>
        <w:t xml:space="preserve">Dokumentacja medyczna jest udostępniana także osobie bliskiej, chyba że udostępnieniu sprzeciwi się inna osoba bliska lub sprzeciwił się temu pacjent za życia, z zastrzeżeniem ust. 2a i 2b, Rozdział 7, art. 26, pkt. 2 </w:t>
      </w:r>
      <w:r>
        <w:rPr>
          <w:rStyle w:val="markedcontent"/>
          <w:rFonts w:cs="Times New Roman" w:ascii="Century Gothic" w:hAnsi="Century Gothic"/>
          <w:sz w:val="22"/>
          <w:szCs w:val="22"/>
        </w:rPr>
        <w:t>ustawy z dnia 6 listopada 2008 r. o prawach pacjenta i Rzeczniku Praw Pacjenta</w:t>
      </w:r>
      <w:r>
        <w:rPr>
          <w:rFonts w:eastAsia="Times New Roman" w:cs="Times New Roman" w:ascii="Century Gothic" w:hAnsi="Century Gothic"/>
          <w:sz w:val="22"/>
          <w:szCs w:val="22"/>
          <w:lang w:eastAsia="pl-PL"/>
        </w:rPr>
        <w:t xml:space="preserve"> tj.:</w:t>
      </w:r>
    </w:p>
    <w:p>
      <w:pPr>
        <w:pStyle w:val="ListParagraph"/>
        <w:spacing w:lineRule="auto" w:line="360" w:before="0" w:after="0"/>
        <w:contextualSpacing/>
        <w:jc w:val="start"/>
        <w:rPr/>
      </w:pPr>
      <w:r>
        <w:rPr>
          <w:rStyle w:val="markedcontent"/>
          <w:rFonts w:cs="Times New Roman" w:ascii="Century Gothic" w:hAnsi="Century Gothic"/>
          <w:i/>
          <w:sz w:val="22"/>
          <w:szCs w:val="22"/>
        </w:rPr>
        <w:t>2a. W przypadku sporu między osobami bliskimi o udostępnienie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dokumentacji medycznej, zgodę na udostępnienie wyraża sąd, o którym mowa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 xml:space="preserve">w art. 628 ustawy z dnia 17 listopada 1964 r. – Kodeks postępowania cywilnego, </w:t>
        <w:br/>
        <w:t>w postępowaniu nieprocesowym na wniosek osoby bliskiej lub osoby wykonującej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zawód medyczny. Osoba wykonująca zawód medyczny może wystąpić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z wnioskiem do sądu także w przypadku uzasadnionych wątpliwości, czy osoba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występująca o udostępnienie dokumentacji lub sprzeciwiająca się jej udostępnieniu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jest osobą bliską.</w:t>
      </w:r>
    </w:p>
    <w:p>
      <w:pPr>
        <w:pStyle w:val="ListParagraph"/>
        <w:spacing w:lineRule="auto" w:line="360" w:before="0" w:after="0"/>
        <w:contextualSpacing/>
        <w:jc w:val="start"/>
        <w:rPr/>
      </w:pPr>
      <w:r>
        <w:rPr>
          <w:rStyle w:val="markedcontent"/>
          <w:rFonts w:cs="Times New Roman" w:ascii="Century Gothic" w:hAnsi="Century Gothic"/>
          <w:i/>
          <w:sz w:val="22"/>
          <w:szCs w:val="22"/>
        </w:rPr>
        <w:t>2b. W przypadku gdy pacjent za życia sprzeciwił się udostępnieniu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dokumentacji medycznej, o którym mowa w ust. 2, sąd, o którym mowa w art. 628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 xml:space="preserve">ustawy z dnia 17 listopada 1964 r. – Kodeks postępowania cywilnego, </w:t>
        <w:br/>
        <w:t>w postępowaniu nieprocesowym na wniosek osoby bliskiej, może wyrazić zgodę na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udostępnienie dokumentacji medycznej i określić zakres jej udostępnienia, jeżeli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jest to niezbędne:</w:t>
      </w:r>
    </w:p>
    <w:p>
      <w:pPr>
        <w:pStyle w:val="ListParagraph"/>
        <w:spacing w:lineRule="auto" w:line="360" w:before="0" w:after="0"/>
        <w:contextualSpacing/>
        <w:jc w:val="start"/>
        <w:rPr/>
      </w:pPr>
      <w:r>
        <w:rPr>
          <w:rStyle w:val="markedcontent"/>
          <w:rFonts w:cs="Times New Roman" w:ascii="Century Gothic" w:hAnsi="Century Gothic"/>
          <w:i/>
          <w:sz w:val="22"/>
          <w:szCs w:val="22"/>
        </w:rPr>
        <w:t>1) w celu dochodzenia odszkodowania lub zadośćuczynienia, z tytułu śmierci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pacjenta;</w:t>
      </w:r>
      <w:r>
        <w:rPr>
          <w:rFonts w:cs="Times New Roman" w:ascii="Century Gothic" w:hAnsi="Century Gothic"/>
          <w:i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i/>
          <w:sz w:val="22"/>
          <w:szCs w:val="22"/>
        </w:rPr>
        <w:t>2) dla ochrony życia lub zdrowia osoby bliskiej.</w:t>
      </w:r>
    </w:p>
    <w:p>
      <w:pPr>
        <w:pStyle w:val="Default"/>
        <w:numPr>
          <w:ilvl w:val="0"/>
          <w:numId w:val="13"/>
        </w:numPr>
        <w:spacing w:lineRule="auto" w:line="360"/>
        <w:jc w:val="start"/>
        <w:rPr/>
      </w:pPr>
      <w:r>
        <w:rPr>
          <w:rStyle w:val="Strong"/>
          <w:rFonts w:cs="Times New Roman" w:ascii="Century Gothic" w:hAnsi="Century Gothic"/>
          <w:b w:val="false"/>
          <w:color w:val="auto"/>
          <w:sz w:val="22"/>
          <w:szCs w:val="22"/>
        </w:rPr>
        <w:t>Sprzeciw złożony przez pacjenta lub osobę bliską należy dołączyć do dokumentacji medycznej. Jeżeli sprzeciw ten został zgłoszony ustnie należy odnotować taką informację w dokumentacji medycznej.</w:t>
      </w:r>
    </w:p>
    <w:p>
      <w:pPr>
        <w:pStyle w:val="Default"/>
        <w:numPr>
          <w:ilvl w:val="0"/>
          <w:numId w:val="13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Weryfikacja osób bliskich może nastąpić na podstawie przekazanego wiarygodnego dokumentu, wskazującego na jej bliskie relacje z pacjentem. </w:t>
      </w:r>
    </w:p>
    <w:p>
      <w:pPr>
        <w:pStyle w:val="Default"/>
        <w:numPr>
          <w:ilvl w:val="0"/>
          <w:numId w:val="6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Dokumentację medyczną udostępnia się również: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podmiotom udzielającym świadczeń zdrowotnych, jeżeli dokumentacja ta jest niezbędna do zapewnienia ciągłości świadczeń zdrowotnych;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organom władzy publicznej w tym Rzecznikowi Praw Pacjenta, Narodowemu Funduszowi Zdrowia, organom samorządu zawodów medycznych oraz konsultantom krajowym i wojewódzkim, w zakresie niezbędnym do wykonywania przez te podmioty ich zadań, w szczególności nadzoru i kontroli, </w:t>
      </w:r>
    </w:p>
    <w:p>
      <w:pPr>
        <w:pStyle w:val="Default"/>
        <w:spacing w:lineRule="auto" w:line="360"/>
        <w:ind w:start="72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b1. podmiotom, o których mowa w art. 119 ust. 1 i 2 ustawy z dnia 15 kwietnia </w:t>
        <w:br/>
        <w:t xml:space="preserve">2011 r. o działalności leczniczej, w zakresie niezbędnym do przeprowadzenia kontroli na zlecenie ministra właściwego do spraw zdrowia; </w:t>
      </w:r>
    </w:p>
    <w:p>
      <w:pPr>
        <w:pStyle w:val="Default"/>
        <w:spacing w:lineRule="auto" w:line="360"/>
        <w:ind w:start="720"/>
        <w:jc w:val="start"/>
        <w:rPr/>
      </w:pPr>
      <w:r>
        <w:rPr>
          <w:rFonts w:cs="Times New Roman" w:ascii="Century Gothic" w:hAnsi="Century Gothic"/>
          <w:sz w:val="22"/>
          <w:szCs w:val="22"/>
        </w:rPr>
        <w:t xml:space="preserve">b2. </w:t>
      </w:r>
      <w:r>
        <w:rPr>
          <w:rStyle w:val="markedcontent"/>
          <w:rFonts w:cs="Times New Roman" w:ascii="Century Gothic" w:hAnsi="Century Gothic"/>
          <w:sz w:val="22"/>
          <w:szCs w:val="22"/>
        </w:rPr>
        <w:t>upoważnionym przez podmiot, o którym mowa w art. 121 ustawy z dnia 15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kwietnia 2011 r. o działalności leczniczej, osobom wykonującym zawód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medyczny, w zakresie niezbędnym do sprawowania nadzoru nad podmiotem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leczniczym niebędącym przedsiębiorcą;</w:t>
      </w:r>
    </w:p>
    <w:p>
      <w:pPr>
        <w:pStyle w:val="Default"/>
        <w:spacing w:lineRule="auto" w:line="360"/>
        <w:ind w:start="72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b3. Agencji Oceny Technologii Medycznych i Taryfikacji, w zakresie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niezbędnym do wykonywania przez nią zadań określonych w art. 31n ustawy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z dnia 27 sierpnia 2004 r. o świadczeniach opieki zdrowotnej finansowanych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ze środków publicznych (Dz. U. z 2019 r. poz. 1373, z późn. zm.5));</w:t>
      </w:r>
      <w:r>
        <w:rPr>
          <w:rFonts w:cs="Times New Roman" w:ascii="Century Gothic" w:hAnsi="Century Gothic"/>
          <w:sz w:val="22"/>
          <w:szCs w:val="22"/>
        </w:rPr>
        <w:br/>
      </w:r>
    </w:p>
    <w:p>
      <w:pPr>
        <w:pStyle w:val="Default"/>
        <w:spacing w:lineRule="auto" w:line="360"/>
        <w:ind w:start="72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b4. Agencji Badań Medycznych w zakresie określonym ustawą z dnia 21 lutego 2019 r. o Agencji Badań Medycznych (Dz. U. poz. 447 oraz z 2020 r. poz.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567);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ministrowi właściwemu do spraw zdrowia, sądom, w tym sądom dyscyplinarnym, prokuraturom, lekarzom sądowym i rzecznikom odpowiedzialności zawodowej, </w:t>
        <w:br/>
        <w:t xml:space="preserve">w związku z prowadzonym postępowaniem;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uprawnionym na mocy odrębnych ustaw organom i instytucjom, jeżeli badanie zostało przeprowadzone na ich wniosek;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organom rentowym oraz zespołom do spraw orzekania o niepełnosprawności, </w:t>
        <w:br/>
        <w:t xml:space="preserve">w związku z prowadzonym przez nie postępowaniem;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podmiotom prowadzącym rejestry usług medycznych, w zakresie niezbędnym do prowadzenia rejestrów;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zakładom ubezpieczeń, za zgodą pacjenta;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komisjom lekarskim podległym ministrowi właściwemu do spraw wewnętrznych, wojskowym komisjom lekarskim oraz komisjom lekarskim Agencji Bezpieczeństwa Wewnętrznego lub Agencji Wywiadu, podległym Szefom właściwych Agencji;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eastAsia="Times New Roman" w:cs="Times New Roman" w:ascii="Century Gothic" w:hAnsi="Century Gothic"/>
          <w:sz w:val="22"/>
          <w:szCs w:val="22"/>
          <w:lang w:eastAsia="pl-PL"/>
        </w:rPr>
        <w:t>osobom wykonującym zawód medyczny, w związku z prowadzeniem</w:t>
        <w:br/>
        <w:t>procedury oceniającej podmiot udzielający świadczeń zdrowotnych na</w:t>
        <w:br/>
        <w:t>podstawie przepisów o akredytacji w ochronie zdrowia albo procedury</w:t>
        <w:br/>
        <w:t>uzyskiwania innych certyfikatów jakości, w zakresie niezbędnym do ich</w:t>
        <w:br/>
        <w:t>przeprowadzenia;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rFonts w:ascii="Century Gothic" w:hAnsi="Century Gothic" w:cs="Times New Roman"/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wojewódzkiej komisji do spraw orzekania o zdarzeniach medycznych, o której mowa w art. 67e ust.1 ustawy z dnia 6 listopada 2008 r. o prawach pacjenta i Rzeczniku Praw Pacjenta, w zakresie prowadzonego postępowania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spadkobiercom w zakresie prowadzonego postępowania przed wojewódzką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komisją do spraw orzekania o zdarzeniach medycznych, o której mowa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w art. 67e ust. 1;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osobom wykonującym czynności kontrolne na podstawie art. 39 ust. 1 ustawy </w:t>
        <w:br/>
        <w:t xml:space="preserve">z dnia 28 kwietnia 2011 r. o systemie informacji w ochronie zdrowia w zakresie niezbędnym do ich przeprowadzenia; </w:t>
      </w:r>
    </w:p>
    <w:p>
      <w:pPr>
        <w:pStyle w:val="Default"/>
        <w:numPr>
          <w:ilvl w:val="1"/>
          <w:numId w:val="7"/>
        </w:numPr>
        <w:spacing w:lineRule="auto" w:line="36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członkom zespołów kontroli zakażeń szpitalnych, o których mowa w art. 14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 xml:space="preserve">ustawy z dnia 5 grudnia 2008 r. o zapobieganiu oraz zwalczaniu zakażeń </w:t>
        <w:br/>
        <w:t>i chorób zakaźnych u ludzi (Dz. U. z 2019 r. poz. 1239 i 1495 oraz z 2020r.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poz. 284, 322, 374 i 567), w zakresie niezbędnym do wykonywania ich zadań.</w:t>
      </w:r>
    </w:p>
    <w:p>
      <w:pPr>
        <w:pStyle w:val="Default"/>
        <w:numPr>
          <w:ilvl w:val="0"/>
          <w:numId w:val="6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Pacjent ma prawo do odwołania złożonego przez siebie upoważnienia do dostępu dokumentacji w każdym czasie. </w:t>
      </w:r>
    </w:p>
    <w:p>
      <w:pPr>
        <w:pStyle w:val="Default"/>
        <w:numPr>
          <w:ilvl w:val="0"/>
          <w:numId w:val="6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Pacjent ma prawo do nie upoważnienia żadnej osoby do jego dokumentacji medycznej oraz do wskazania osób, którym jego dokumentacja medyczna nie będzie udostępniania. </w:t>
      </w:r>
    </w:p>
    <w:p>
      <w:pPr>
        <w:pStyle w:val="Default"/>
        <w:spacing w:lineRule="auto" w:line="360"/>
        <w:jc w:val="start"/>
        <w:rPr>
          <w:rFonts w:ascii="Century Gothic" w:hAnsi="Century Gothic" w:cs="Times New Roman"/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</w:r>
    </w:p>
    <w:p>
      <w:pPr>
        <w:pStyle w:val="Default"/>
        <w:numPr>
          <w:ilvl w:val="2"/>
          <w:numId w:val="7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i/>
          <w:sz w:val="22"/>
          <w:szCs w:val="22"/>
        </w:rPr>
        <w:t xml:space="preserve">Część b. </w:t>
      </w:r>
      <w:r>
        <w:rPr>
          <w:rFonts w:cs="Times New Roman" w:ascii="Century Gothic" w:hAnsi="Century Gothic"/>
          <w:bCs/>
          <w:i/>
          <w:sz w:val="22"/>
          <w:szCs w:val="22"/>
        </w:rPr>
        <w:t>Zasady udostępniania dokumentacji medycznej</w:t>
      </w:r>
    </w:p>
    <w:p>
      <w:pPr>
        <w:pStyle w:val="ListParagraph"/>
        <w:numPr>
          <w:ilvl w:val="0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000000"/>
          <w:sz w:val="22"/>
          <w:szCs w:val="22"/>
        </w:rPr>
        <w:t xml:space="preserve">Udostępnienie dokumentacji osobie uprawnionej może nastąpić, w zależności od żądania zgłoszonego we wniosku przez osobę uprawnioną, w jeden ze wskazanych poniżej sposobów: 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426" w:start="993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000000"/>
          <w:sz w:val="22"/>
          <w:szCs w:val="22"/>
        </w:rPr>
        <w:t xml:space="preserve">do wglądu w miejscu udzielania świadczeń zdrowotnych, z zapewnieniem pacjentowi lub innym uprawnionym organom lub podmiotom możliwości sporządzenia notatek lub zdjęć; 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567" w:start="1134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000000"/>
          <w:sz w:val="22"/>
          <w:szCs w:val="22"/>
        </w:rPr>
        <w:t xml:space="preserve">poprzez sporządzenie jej wyciągu, odpisu, </w:t>
      </w:r>
      <w:r>
        <w:rPr>
          <w:rFonts w:cs="Times New Roman" w:ascii="Century Gothic" w:hAnsi="Century Gothic"/>
          <w:sz w:val="22"/>
          <w:szCs w:val="22"/>
        </w:rPr>
        <w:t xml:space="preserve">kopii lub wydruku; 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567" w:start="1134"/>
        <w:contextualSpacing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poprzez wydanie oryginału za potwierdzeniem odbioru i z zastrzeżeniem zwrotu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po wykorzystaniu, na żądanie organów władzy publicznej albo sądów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powszechnych, a także w przypadku gdy zwłoka w wydaniu dokumentacji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mogłaby spowodować zagrożenie życia lub zdrowia pacjenta;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567" w:start="1134"/>
        <w:contextualSpacing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za pośrednictwem środków komunikacji elektronicznej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567" w:start="1134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na informatycznym nośniku danych; </w:t>
      </w:r>
    </w:p>
    <w:p>
      <w:pPr>
        <w:pStyle w:val="ListParagraph"/>
        <w:numPr>
          <w:ilvl w:val="0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Dokumentacja medyczna jest udostępniana: 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567" w:start="1134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poprzez odbiór osobisty,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567" w:start="1134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za pośrednictwem Poczty Polskiej lub poczty kurierskiej, za zgodą pacjenta lub jego przedstawiciela ustawowego; 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ind w:hanging="567" w:start="1134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w formie elektronicznej - za pośrednictwem środków komunikacji elektronicznej (przesłanie szyfrowanej wiadomości na adres mailowy wskazany we wniosku </w:t>
        <w:br/>
        <w:t xml:space="preserve">o udostępnienie dokumentacji medycznej, po weryfikacji zgodności danych osobowych osoby wnioskującej o udostepnienie dokumentacji medycznej). </w:t>
      </w:r>
    </w:p>
    <w:p>
      <w:pPr>
        <w:pStyle w:val="Default"/>
        <w:numPr>
          <w:ilvl w:val="0"/>
          <w:numId w:val="8"/>
        </w:numPr>
        <w:spacing w:lineRule="auto" w:line="36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Dokumentacja medyczna prowadzona w postaci papierowej może być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 xml:space="preserve">udostępniona przez sporządzenie kopii w formie odwzorowania cyfrowego (skanu) i przekazanie w sposób określony w ust. 1 pkt 4 i 5 ustawy </w:t>
      </w:r>
      <w:r>
        <w:rPr>
          <w:rFonts w:cs="Times New Roman" w:ascii="Century Gothic" w:hAnsi="Century Gothic"/>
          <w:sz w:val="22"/>
          <w:szCs w:val="22"/>
        </w:rPr>
        <w:t xml:space="preserve">z dnia 6 listopada 2008 r. </w:t>
        <w:br/>
        <w:t>o prawach pacjenta i Rzeczniku Praw Pacjenta</w:t>
      </w:r>
      <w:r>
        <w:rPr>
          <w:rStyle w:val="markedcontent"/>
          <w:rFonts w:cs="Times New Roman" w:ascii="Century Gothic" w:hAnsi="Century Gothic"/>
          <w:sz w:val="22"/>
          <w:szCs w:val="22"/>
        </w:rPr>
        <w:t>, na żądanie pacjenta lub innych uprawnionych organów lub podmiotów, jeżeli przewiduje to regulamin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organizacyjny podmiotu udzielającego świadczeń zdrowotnych.</w:t>
      </w:r>
    </w:p>
    <w:p>
      <w:pPr>
        <w:pStyle w:val="ListParagraph"/>
        <w:numPr>
          <w:ilvl w:val="0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themeColor="text1" w:val="000000"/>
          <w:sz w:val="22"/>
          <w:szCs w:val="22"/>
        </w:rPr>
        <w:t>Procedura wydania dokumentacji musi być zgoda z przepisami ustawowymi oraz z zachowaniem zasad bezpieczeństwa danych.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themeColor="text1" w:val="000000"/>
          <w:sz w:val="22"/>
          <w:szCs w:val="22"/>
        </w:rPr>
        <w:t xml:space="preserve">Każdorazowo następuje weryfikacja złożonego wniosku, zgodności danych oraz możliwości ich udostępnienia. 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themeColor="text1" w:val="000000"/>
          <w:sz w:val="22"/>
          <w:szCs w:val="22"/>
        </w:rPr>
        <w:t>W przypadku wniosku składanego osobiście w podmiocie leczniczym następuje weryfikacja tożsamości pacjenta. Pacjent przedstawia dokument potwierdzający tożsamość.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themeColor="text1" w:val="000000"/>
          <w:sz w:val="22"/>
          <w:szCs w:val="22"/>
        </w:rPr>
        <w:t xml:space="preserve">W przypadku wniosku składanego drogą elektroniczną bądź pocztową następuje dodatkowa weryfikacja tożsamości pacjenta, w celu zapewnienia bezpieczeństwa danych. </w:t>
      </w:r>
    </w:p>
    <w:p>
      <w:pPr>
        <w:pStyle w:val="ListParagraph"/>
        <w:numPr>
          <w:ilvl w:val="1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W przypadku wystąpienia nieprawidłowości związanych z wypełnieniem wniosku pracownik podmiotu leczniczego dokonuje dodatkowej weryfikacji bądź wzywa do poprawienia wniosku o wydanie kopii dokumentacji medycznej.</w:t>
      </w:r>
    </w:p>
    <w:p>
      <w:pPr>
        <w:pStyle w:val="ListParagraph"/>
        <w:numPr>
          <w:ilvl w:val="0"/>
          <w:numId w:val="8"/>
        </w:numPr>
        <w:spacing w:lineRule="auto" w:line="360" w:before="0" w:after="0"/>
        <w:contextualSpacing/>
        <w:jc w:val="start"/>
        <w:rPr/>
      </w:pPr>
      <w:r>
        <w:rPr>
          <w:rFonts w:cs="Times New Roman" w:ascii="Century Gothic" w:hAnsi="Century Gothic"/>
          <w:color w:themeColor="text1" w:val="000000"/>
          <w:sz w:val="22"/>
          <w:szCs w:val="22"/>
        </w:rPr>
        <w:t xml:space="preserve">Dokumentacja następnie jest przygotowywana do wydania bez zbędnej zwłoki. </w:t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W przypadkach szczególnych, związanych z ochroną życia pacjenta, udostępnienie dokumentacji nastąpi bez ograniczenia czasowego.</w:t>
      </w:r>
    </w:p>
    <w:p>
      <w:pPr>
        <w:pStyle w:val="ListParagraph"/>
        <w:numPr>
          <w:ilvl w:val="0"/>
          <w:numId w:val="8"/>
        </w:numPr>
        <w:spacing w:lineRule="auto" w:line="360" w:before="0" w:after="0"/>
        <w:contextualSpacing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Zdjęcia rentgenowskie wykonane na kliszy, które są przechowywane przez podmiot udzielający świadczeń zdrowotnych stanowią własność pacjenta i są udostępniane jedynie za potwierdzeniem odbioru.</w:t>
      </w:r>
    </w:p>
    <w:p>
      <w:pPr>
        <w:pStyle w:val="ListParagraph"/>
        <w:numPr>
          <w:ilvl w:val="0"/>
          <w:numId w:val="8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W przypadku, w którym udostępnienie dotyczy modeli gipsowych – udostępnia się je na podstawie wypełnionego wniosku za potwierdzeniem odbioru i z zastrzeżeniem zwrotu po wykorzystaniu. Bądź na wniosek pacjenta można wykonać ich kopię </w:t>
        <w:br/>
        <w:t>w pracowni protetycznej za opłatą zgodnie z cennikiem obowiązującym we wspomnianej pracowni.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contextualSpacing/>
        <w:jc w:val="start"/>
        <w:rPr>
          <w:sz w:val="24"/>
          <w:szCs w:val="24"/>
        </w:rPr>
      </w:pPr>
      <w:r>
        <w:rPr>
          <w:rFonts w:cs="Times New Roman" w:ascii="Century Gothic" w:hAnsi="Century Gothic"/>
          <w:i/>
          <w:color w:themeColor="text1" w:val="000000"/>
          <w:sz w:val="24"/>
          <w:szCs w:val="24"/>
        </w:rPr>
        <w:t xml:space="preserve">Część c. </w:t>
      </w:r>
      <w:r>
        <w:rPr>
          <w:rFonts w:cs="Times New Roman" w:ascii="Century Gothic" w:hAnsi="Century Gothic"/>
          <w:i/>
          <w:sz w:val="24"/>
          <w:szCs w:val="24"/>
        </w:rPr>
        <w:t>Zasady pobierania opłat</w:t>
      </w:r>
    </w:p>
    <w:p>
      <w:pPr>
        <w:pStyle w:val="Default"/>
        <w:numPr>
          <w:ilvl w:val="0"/>
          <w:numId w:val="11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Dokumentacja medyczna udostępniana jest bezpłatnie: </w:t>
      </w:r>
    </w:p>
    <w:p>
      <w:pPr>
        <w:pStyle w:val="Default"/>
        <w:numPr>
          <w:ilvl w:val="0"/>
          <w:numId w:val="9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w przypadku udostępniania dokumentacji medycznej pacjentowi albo jego przedstawicielowi ustawowemu po raz pierwszy, w żądanym zakresie i w sposób określony zgodnie z Ustawą o prawach pacjenta i  Rzeczniku Praw Pacjenta  oraz Ustawą o ochronie danych osobowych i Rozporządzeniu ogólnym o ochronie danych (RODO).</w:t>
      </w:r>
    </w:p>
    <w:p>
      <w:pPr>
        <w:pStyle w:val="Default"/>
        <w:numPr>
          <w:ilvl w:val="0"/>
          <w:numId w:val="9"/>
        </w:numPr>
        <w:spacing w:lineRule="auto" w:line="36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w związku z postępowaniem, o którym mowa w art. 17d ust. 1 ustawy z dnia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5 grudnia 2008 r. o zapobieganiu oraz zwalczaniu zakażeń i chorób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zakaźnych u ludzi, prowadzonym przez Rzecznika Praw Pacjenta;</w:t>
      </w:r>
    </w:p>
    <w:p>
      <w:pPr>
        <w:pStyle w:val="Default"/>
        <w:numPr>
          <w:ilvl w:val="0"/>
          <w:numId w:val="9"/>
        </w:numPr>
        <w:spacing w:lineRule="auto" w:line="36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w związku z postępowaniem przed wojewódzką komisją do spraw orzekania</w:t>
      </w:r>
      <w:r>
        <w:rPr>
          <w:rFonts w:cs="Times New Roman" w:ascii="Century Gothic" w:hAnsi="Century Gothic"/>
          <w:sz w:val="22"/>
          <w:szCs w:val="22"/>
        </w:rPr>
        <w:br/>
      </w:r>
      <w:r>
        <w:rPr>
          <w:rStyle w:val="markedcontent"/>
          <w:rFonts w:cs="Times New Roman" w:ascii="Century Gothic" w:hAnsi="Century Gothic"/>
          <w:sz w:val="22"/>
          <w:szCs w:val="22"/>
        </w:rPr>
        <w:t>o zdarzeniach medycznych, o której mowa w art. 67e ust. 1.</w:t>
      </w:r>
      <w:r>
        <w:rPr>
          <w:rFonts w:cs="Times New Roman" w:ascii="Century Gothic" w:hAnsi="Century Gothic"/>
          <w:sz w:val="22"/>
          <w:szCs w:val="22"/>
        </w:rPr>
        <w:br/>
      </w:r>
    </w:p>
    <w:p>
      <w:pPr>
        <w:pStyle w:val="Default"/>
        <w:numPr>
          <w:ilvl w:val="0"/>
          <w:numId w:val="9"/>
        </w:numPr>
        <w:spacing w:lineRule="auto" w:line="360"/>
        <w:jc w:val="start"/>
        <w:rPr/>
      </w:pPr>
      <w:r>
        <w:rPr>
          <w:rStyle w:val="markedcontent"/>
          <w:rFonts w:cs="Times New Roman" w:ascii="Century Gothic" w:hAnsi="Century Gothic"/>
          <w:sz w:val="22"/>
          <w:szCs w:val="22"/>
        </w:rPr>
        <w:t>w przypadku udostępnienia dokumentacji medycznej Agencji Oceny Technologii Medycznych i Taryfikacji oraz Agencji Badań Medycznych.</w:t>
      </w:r>
    </w:p>
    <w:p>
      <w:pPr>
        <w:pStyle w:val="Default"/>
        <w:numPr>
          <w:ilvl w:val="0"/>
          <w:numId w:val="9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jednostkom Zakładu Ubezpieczeń Społecznych, </w:t>
      </w:r>
    </w:p>
    <w:p>
      <w:pPr>
        <w:pStyle w:val="Default"/>
        <w:numPr>
          <w:ilvl w:val="0"/>
          <w:numId w:val="9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jeżeli dokumentacja medyczna jest niezbędna do zapewnienia ciągłości świadczeń zdrowotnych, a zwłoka w jej wydaniu mogłaby spowodować zagrożenie życia lub zdrowia pacjenta, </w:t>
      </w:r>
    </w:p>
    <w:p>
      <w:pPr>
        <w:pStyle w:val="ListParagraph"/>
        <w:numPr>
          <w:ilvl w:val="0"/>
          <w:numId w:val="11"/>
        </w:numPr>
        <w:spacing w:lineRule="auto" w:line="360" w:before="0" w:after="0"/>
        <w:contextualSpacing/>
        <w:jc w:val="start"/>
        <w:rPr/>
      </w:pPr>
      <w:r>
        <w:rPr>
          <w:rFonts w:cs="Times New Roman" w:ascii="Century Gothic" w:hAnsi="Century Gothic"/>
          <w:sz w:val="22"/>
          <w:szCs w:val="22"/>
        </w:rPr>
        <w:t>Udostępnienie dokumentacji do wglądu na miejscu, po uprzednim uzgodnieniu terminu, jest </w:t>
      </w:r>
      <w:r>
        <w:rPr>
          <w:rStyle w:val="Strong"/>
          <w:rFonts w:cs="Times New Roman" w:ascii="Century Gothic" w:hAnsi="Century Gothic"/>
          <w:b w:val="false"/>
          <w:sz w:val="22"/>
          <w:szCs w:val="22"/>
        </w:rPr>
        <w:t>bezpłatne</w:t>
      </w:r>
      <w:r>
        <w:rPr>
          <w:rFonts w:cs="Times New Roman" w:ascii="Century Gothic" w:hAnsi="Century Gothic"/>
          <w:sz w:val="22"/>
          <w:szCs w:val="22"/>
        </w:rPr>
        <w:t>.</w:t>
      </w:r>
    </w:p>
    <w:p>
      <w:pPr>
        <w:pStyle w:val="ListParagraph"/>
        <w:numPr>
          <w:ilvl w:val="0"/>
          <w:numId w:val="11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>Za kolejne udostępnienie dokumentacji medycznej przez sporządzenie jej wyciągu, odpisu, kopii lub wydruku lub na informatycznym nośniku, podmiot udzielający świadczeń zdrowotnych może pobierać opłatę.</w:t>
      </w:r>
    </w:p>
    <w:p>
      <w:pPr>
        <w:pStyle w:val="ListParagraph"/>
        <w:numPr>
          <w:ilvl w:val="0"/>
          <w:numId w:val="11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themeColor="text1" w:val="000000"/>
          <w:sz w:val="22"/>
          <w:szCs w:val="22"/>
        </w:rPr>
        <w:t xml:space="preserve">W przypadku, gdy dokumentacja jest udostępniana za opłatą, wówczas opłata musi być zgodna z cennikiem, wynikającym z obowiązujących przepisów. </w:t>
      </w:r>
      <w:r>
        <w:rPr>
          <w:rFonts w:cs="Times New Roman" w:ascii="Century Gothic" w:hAnsi="Century Gothic"/>
          <w:sz w:val="22"/>
          <w:szCs w:val="22"/>
        </w:rPr>
        <w:t>Podstawą wyliczenia kwoty odpłatności jest publikowana przez prezesa Głównego Urzędu Statystycznego wysokość przeciętnego wynagrodzenia w poprzednim kwartale.</w:t>
      </w:r>
    </w:p>
    <w:p>
      <w:pPr>
        <w:pStyle w:val="ListParagraph"/>
        <w:numPr>
          <w:ilvl w:val="0"/>
          <w:numId w:val="11"/>
        </w:numPr>
        <w:spacing w:lineRule="auto" w:line="360" w:before="0" w:after="0"/>
        <w:contextualSpacing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W przypadku przesyłania dokumentacji pocztą lub kurierem za pobraniem, pacjent ponosi tylko koszty nadania przesyłki, ustalone przez operatora pocztowego/firmę kurierską.  </w:t>
      </w:r>
    </w:p>
    <w:p>
      <w:pPr>
        <w:pStyle w:val="Default"/>
        <w:spacing w:lineRule="auto" w:line="360"/>
        <w:ind w:start="720"/>
        <w:jc w:val="start"/>
        <w:rPr>
          <w:rFonts w:ascii="Century Gothic" w:hAnsi="Century Gothic" w:cs="Times New Roman"/>
          <w:color w:val="auto"/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sz w:val="24"/>
          <w:szCs w:val="24"/>
        </w:rPr>
      </w:pPr>
      <w:r>
        <w:rPr>
          <w:rFonts w:ascii="Century Gothic" w:hAnsi="Century Gothic"/>
          <w:i/>
          <w:sz w:val="24"/>
          <w:szCs w:val="24"/>
        </w:rPr>
        <w:t xml:space="preserve">Część d. Pomocnicze wnioski i upoważnienia obowiązujące </w:t>
        <w:br/>
        <w:t xml:space="preserve">w </w:t>
      </w:r>
      <w:r>
        <w:rPr>
          <w:rFonts w:ascii="Century Gothic" w:hAnsi="Century Gothic"/>
          <w:bCs/>
          <w:i/>
          <w:color w:themeColor="text1" w:val="000000"/>
          <w:sz w:val="24"/>
          <w:szCs w:val="24"/>
        </w:rPr>
        <w:t xml:space="preserve">podmiocie leczniczym </w:t>
      </w:r>
      <w:r>
        <w:rPr>
          <w:rFonts w:ascii="Century Gothic" w:hAnsi="Century Gothic"/>
          <w:bCs/>
          <w:i/>
          <w:color w:themeColor="text1" w:val="000000"/>
          <w:sz w:val="22"/>
          <w:szCs w:val="22"/>
        </w:rPr>
        <w:t xml:space="preserve">PERIOMEDICA CENTRUM MEDYCZNE SMILDENT SP. Z O.O.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rFonts w:ascii="Century Gothic" w:hAnsi="Century Gothic" w:cs="Times New Roman"/>
          <w:i/>
          <w:sz w:val="22"/>
          <w:szCs w:val="22"/>
        </w:rPr>
      </w:pPr>
      <w:r>
        <w:rPr>
          <w:rFonts w:cs="Times New Roman" w:ascii="Century Gothic" w:hAnsi="Century Gothic"/>
          <w:i/>
          <w:sz w:val="22"/>
          <w:szCs w:val="22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rFonts w:ascii="Century Gothic" w:hAnsi="Century Gothic" w:cs="Times New Roman"/>
          <w:i/>
          <w:sz w:val="22"/>
          <w:szCs w:val="22"/>
        </w:rPr>
      </w:pPr>
      <w:r>
        <w:rPr>
          <w:rFonts w:cs="Times New Roman" w:ascii="Century Gothic" w:hAnsi="Century Gothic"/>
          <w:i/>
          <w:sz w:val="22"/>
          <w:szCs w:val="22"/>
        </w:rPr>
        <w:t>w zakresie udostępniania dokumentacji medycznej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 z</w:t>
      </w:r>
      <w:r>
        <w:rPr>
          <w:rFonts w:ascii="Century Gothic" w:hAnsi="Century Gothic"/>
          <w:color w:themeColor="text1" w:val="000000"/>
          <w:sz w:val="22"/>
          <w:szCs w:val="22"/>
        </w:rPr>
        <w:t xml:space="preserve">akresie udostępniania dokumentacji medycznej obowiązują pomocnicze wnioski oraz upoważnienia, których wzory są dostępne w podmiocie leczniczym oraz do pobrania na stronie internetowej </w:t>
      </w:r>
      <w:r>
        <w:rPr>
          <w:rFonts w:ascii="Century Gothic" w:hAnsi="Century Gothic"/>
          <w:b/>
          <w:bCs/>
          <w:sz w:val="22"/>
          <w:szCs w:val="22"/>
        </w:rPr>
        <w:t>www.periomedica.pl</w:t>
      </w:r>
      <w:r>
        <w:rPr>
          <w:rFonts w:ascii="Century Gothic" w:hAnsi="Century Gothic"/>
          <w:b/>
          <w:bCs/>
          <w:color w:themeColor="text1" w:val="000000"/>
          <w:sz w:val="22"/>
          <w:szCs w:val="22"/>
        </w:rPr>
        <w:t>.</w:t>
      </w:r>
      <w:r>
        <w:rPr>
          <w:rFonts w:ascii="Century Gothic" w:hAnsi="Century Gothic"/>
          <w:color w:themeColor="text1" w:val="000000"/>
          <w:sz w:val="22"/>
          <w:szCs w:val="22"/>
        </w:rPr>
        <w:t xml:space="preserve"> Dokumenty te stanowią Załączniki nr 15, 15.1 oraz 15.2 do </w:t>
      </w:r>
      <w:r>
        <w:rPr>
          <w:rFonts w:ascii="Century Gothic" w:hAnsi="Century Gothic"/>
          <w:sz w:val="22"/>
          <w:szCs w:val="22"/>
        </w:rPr>
        <w:t xml:space="preserve">Polityki Bezpieczeństwa i Instrukcji Zarzadzania Systemem Informatycznym Przetwarzania Danych Osobowych w Podmiocie Leczniczym </w:t>
      </w:r>
      <w:r>
        <w:rPr>
          <w:rFonts w:ascii="Century Gothic" w:hAnsi="Century Gothic"/>
          <w:bCs/>
          <w:color w:themeColor="text1" w:val="000000"/>
          <w:sz w:val="22"/>
          <w:szCs w:val="22"/>
        </w:rPr>
        <w:t xml:space="preserve">PERIOMEDICA </w:t>
      </w:r>
      <w:r>
        <w:rPr>
          <w:rFonts w:ascii="Century Gothic" w:hAnsi="Century Gothic"/>
          <w:sz w:val="22"/>
          <w:szCs w:val="22"/>
        </w:rPr>
        <w:t xml:space="preserve">CENTRUM MEDYCZNE SMILDENT SP. Z O.O. </w:t>
      </w:r>
    </w:p>
    <w:p>
      <w:pPr>
        <w:pStyle w:val="Default"/>
        <w:numPr>
          <w:ilvl w:val="0"/>
          <w:numId w:val="1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sz w:val="22"/>
          <w:szCs w:val="22"/>
        </w:rPr>
        <w:t xml:space="preserve">W przypadku, gdy wniosek o udostępnienie dokumentacji medycznej jest składany </w:t>
        <w:br/>
        <w:t xml:space="preserve">w formie pisemnej, musi być własnoręcznie podpisany przez osobę uprawnioną do jego złożenia. </w:t>
      </w:r>
    </w:p>
    <w:p>
      <w:pPr>
        <w:pStyle w:val="Default"/>
        <w:numPr>
          <w:ilvl w:val="0"/>
          <w:numId w:val="1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themeColor="text1" w:val="000000"/>
          <w:sz w:val="22"/>
          <w:szCs w:val="22"/>
        </w:rPr>
        <w:t xml:space="preserve">W </w:t>
      </w:r>
      <w:r>
        <w:rPr>
          <w:rFonts w:cs="Times New Roman" w:ascii="Century Gothic" w:hAnsi="Century Gothic"/>
          <w:sz w:val="22"/>
          <w:szCs w:val="22"/>
        </w:rPr>
        <w:t>przypadku, gdy dokumentacja medyczna udostępniana jest do wglądu, udostepnienie następuje w pomieszczeniach placówki pod nadzorem personelu.</w:t>
      </w:r>
    </w:p>
    <w:p>
      <w:pPr>
        <w:pStyle w:val="Default"/>
        <w:numPr>
          <w:ilvl w:val="0"/>
          <w:numId w:val="12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>W przypadku osobistego odbioru dokumentacji medycznej przez uprawnioną osobę pracownik przekazując dokumentację dokonuje niezbędnych wpisów we wniosku.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Pracownicy pod nadzorem Kierownika podmiotu leczniczego prowadzą rejestr udostępnianej dokumentacji. Wzór stanowi załącznik nr 16 </w:t>
      </w:r>
      <w:r>
        <w:rPr>
          <w:rFonts w:ascii="Century Gothic" w:hAnsi="Century Gothic"/>
          <w:color w:themeColor="text1" w:val="000000"/>
          <w:sz w:val="22"/>
          <w:szCs w:val="22"/>
        </w:rPr>
        <w:t xml:space="preserve">do </w:t>
      </w:r>
      <w:r>
        <w:rPr>
          <w:rFonts w:ascii="Century Gothic" w:hAnsi="Century Gothic"/>
          <w:sz w:val="22"/>
          <w:szCs w:val="22"/>
        </w:rPr>
        <w:t xml:space="preserve">Polityki Bezpieczeństwa i Instrukcji Zarzadzania Systemem Informatycznym Przetwarzania Danych Osobowych w Podmiocie Leczniczym </w:t>
      </w:r>
      <w:r>
        <w:rPr>
          <w:rFonts w:ascii="Century Gothic" w:hAnsi="Century Gothic"/>
          <w:sz w:val="20"/>
          <w:szCs w:val="20"/>
        </w:rPr>
        <w:t>P</w:t>
      </w:r>
      <w:r>
        <w:rPr>
          <w:rFonts w:ascii="Century Gothic" w:hAnsi="Century Gothic"/>
          <w:bCs/>
          <w:color w:themeColor="text1" w:val="000000"/>
          <w:sz w:val="20"/>
          <w:szCs w:val="20"/>
        </w:rPr>
        <w:t xml:space="preserve">ERIOMEDICA </w:t>
      </w:r>
      <w:r>
        <w:rPr>
          <w:rFonts w:ascii="Century Gothic" w:hAnsi="Century Gothic"/>
          <w:sz w:val="20"/>
          <w:szCs w:val="20"/>
        </w:rPr>
        <w:t>CENTRUM MEDYCZNE SMILDENT SP. Z O.O.</w:t>
      </w:r>
      <w:r>
        <w:rPr>
          <w:rFonts w:ascii="Century Gothic" w:hAnsi="Century Gothic"/>
          <w:sz w:val="22"/>
          <w:szCs w:val="22"/>
        </w:rPr>
        <w:t xml:space="preserve"> Rejestr ten zawiera wykaz poniższych informacji dotyczących udostępnianej dokumentacji medycznej:</w:t>
        <w:br/>
        <w:t>a.  imię (imiona) i nazwisko pacjenta, którego dotyczy dokumentacja medyczna;</w:t>
        <w:br/>
        <w:t>b.   sposób udostępniania dokumentacji medycznej;</w:t>
      </w:r>
    </w:p>
    <w:p>
      <w:pPr>
        <w:pStyle w:val="Default"/>
        <w:numPr>
          <w:ilvl w:val="0"/>
          <w:numId w:val="13"/>
        </w:numPr>
        <w:spacing w:lineRule="auto" w:line="360"/>
        <w:jc w:val="start"/>
        <w:rPr>
          <w:sz w:val="22"/>
          <w:szCs w:val="22"/>
        </w:rPr>
      </w:pPr>
      <w:r>
        <w:rPr>
          <w:rFonts w:eastAsia="Times New Roman" w:cs="Times New Roman" w:ascii="Century Gothic" w:hAnsi="Century Gothic"/>
          <w:sz w:val="22"/>
          <w:szCs w:val="22"/>
          <w:lang w:eastAsia="pl-PL"/>
        </w:rPr>
        <w:t>zakres udostępnionej dokumentacji medycznej;</w:t>
      </w:r>
    </w:p>
    <w:p>
      <w:pPr>
        <w:pStyle w:val="Default"/>
        <w:numPr>
          <w:ilvl w:val="0"/>
          <w:numId w:val="13"/>
        </w:numPr>
        <w:spacing w:lineRule="auto" w:line="360"/>
        <w:jc w:val="start"/>
        <w:rPr>
          <w:sz w:val="22"/>
          <w:szCs w:val="22"/>
        </w:rPr>
      </w:pPr>
      <w:r>
        <w:rPr>
          <w:rFonts w:eastAsia="Times New Roman" w:cs="Times New Roman" w:ascii="Century Gothic" w:hAnsi="Century Gothic"/>
          <w:sz w:val="22"/>
          <w:szCs w:val="22"/>
          <w:lang w:eastAsia="pl-PL"/>
        </w:rPr>
        <w:t>imię (imiona) i nazwisko osoby innej niż pacjent, której została udostępniona</w:t>
        <w:br/>
        <w:t>dokumentacja medyczna, a w przypadkach, o których mowa w art. 26 ust. 3 i 4, także nazwę uprawnionego organu lub podmiotu;</w:t>
      </w:r>
    </w:p>
    <w:p>
      <w:pPr>
        <w:pStyle w:val="Default"/>
        <w:numPr>
          <w:ilvl w:val="0"/>
          <w:numId w:val="13"/>
        </w:numPr>
        <w:spacing w:lineRule="auto" w:line="360"/>
        <w:jc w:val="start"/>
        <w:rPr>
          <w:sz w:val="22"/>
          <w:szCs w:val="22"/>
        </w:rPr>
      </w:pPr>
      <w:r>
        <w:rPr>
          <w:rFonts w:eastAsia="Times New Roman" w:cs="Times New Roman" w:ascii="Century Gothic" w:hAnsi="Century Gothic"/>
          <w:sz w:val="22"/>
          <w:szCs w:val="22"/>
          <w:lang w:eastAsia="pl-PL"/>
        </w:rPr>
        <w:t>imię i nazwisko oraz podpis osoby, która udostępniła dokumentację</w:t>
        <w:br/>
        <w:t>medyczną;</w:t>
      </w:r>
    </w:p>
    <w:p>
      <w:pPr>
        <w:pStyle w:val="Default"/>
        <w:spacing w:lineRule="auto" w:line="360"/>
        <w:ind w:start="720"/>
        <w:jc w:val="start"/>
        <w:rPr>
          <w:sz w:val="22"/>
          <w:szCs w:val="22"/>
        </w:rPr>
      </w:pPr>
      <w:r>
        <w:rPr>
          <w:rFonts w:eastAsia="Times New Roman" w:cs="Times New Roman" w:ascii="Century Gothic" w:hAnsi="Century Gothic"/>
          <w:sz w:val="22"/>
          <w:szCs w:val="22"/>
          <w:lang w:eastAsia="pl-PL"/>
        </w:rPr>
        <w:t>f.  datę udostępnienia dokumentacji medycznej.</w:t>
      </w:r>
    </w:p>
    <w:p>
      <w:pPr>
        <w:pStyle w:val="Default"/>
        <w:numPr>
          <w:ilvl w:val="0"/>
          <w:numId w:val="14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>Dokumentację wydaje się uprawnionej osobie po potwierdzeniu jej tożsamości (na podstawie dokumentu potwierdzającego tożsamość).</w:t>
      </w:r>
    </w:p>
    <w:p>
      <w:pPr>
        <w:pStyle w:val="Default"/>
        <w:numPr>
          <w:ilvl w:val="0"/>
          <w:numId w:val="14"/>
        </w:numPr>
        <w:spacing w:lineRule="auto" w:line="360"/>
        <w:jc w:val="start"/>
        <w:rPr>
          <w:sz w:val="22"/>
          <w:szCs w:val="22"/>
        </w:rPr>
      </w:pPr>
      <w:r>
        <w:rPr>
          <w:rFonts w:cs="Times New Roman" w:ascii="Century Gothic" w:hAnsi="Century Gothic"/>
          <w:color w:val="auto"/>
          <w:sz w:val="22"/>
          <w:szCs w:val="22"/>
        </w:rPr>
        <w:t xml:space="preserve"> </w:t>
      </w:r>
      <w:r>
        <w:rPr>
          <w:rFonts w:cs="Times New Roman" w:ascii="Century Gothic" w:hAnsi="Century Gothic"/>
          <w:color w:val="auto"/>
          <w:sz w:val="22"/>
          <w:szCs w:val="22"/>
        </w:rPr>
        <w:t xml:space="preserve">W przypadku wysyłki dokumentacji medycznej do osoby fizycznej, pracownik podmiotu leczniczego wysyła ją za potwierdzeniem pocztowym oraz potwierdzeniem odbioru. </w:t>
      </w:r>
    </w:p>
    <w:p>
      <w:pPr>
        <w:pStyle w:val="Default"/>
        <w:numPr>
          <w:ilvl w:val="0"/>
          <w:numId w:val="1"/>
        </w:numPr>
        <w:spacing w:lineRule="auto" w:line="360"/>
        <w:jc w:val="start"/>
        <w:rPr>
          <w:sz w:val="24"/>
          <w:szCs w:val="24"/>
        </w:rPr>
      </w:pPr>
      <w:r>
        <w:rPr>
          <w:rFonts w:cs="Times New Roman" w:ascii="Century Gothic" w:hAnsi="Century Gothic"/>
          <w:b/>
          <w:bCs/>
          <w:color w:val="auto"/>
          <w:sz w:val="24"/>
          <w:szCs w:val="24"/>
        </w:rPr>
        <w:t xml:space="preserve">Postanowienia końcowe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start"/>
        <w:rPr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W sprawach nieuregulowanych decyzje podejmuje Kierownik podmiotu leczniczego </w:t>
      </w:r>
      <w:r>
        <w:rPr>
          <w:rFonts w:ascii="Century Gothic" w:hAnsi="Century Gothic"/>
          <w:sz w:val="21"/>
          <w:szCs w:val="21"/>
        </w:rPr>
        <w:t>P</w:t>
      </w:r>
      <w:r>
        <w:rPr>
          <w:rFonts w:ascii="Century Gothic" w:hAnsi="Century Gothic"/>
          <w:bCs/>
          <w:color w:themeColor="text1" w:val="000000"/>
          <w:sz w:val="21"/>
          <w:szCs w:val="21"/>
        </w:rPr>
        <w:t xml:space="preserve">ERIOMEDICA </w:t>
      </w:r>
      <w:r>
        <w:rPr>
          <w:rFonts w:ascii="Century Gothic" w:hAnsi="Century Gothic"/>
          <w:sz w:val="21"/>
          <w:szCs w:val="21"/>
        </w:rPr>
        <w:t>CENTRUM MEDYCZNE SMILDENT SP. Z O.O.  – Dr n. med. Joanny Sitko-Gap</w:t>
      </w:r>
      <w:r>
        <w:rPr>
          <w:rFonts w:ascii="Century Gothic" w:hAnsi="Century Gothic"/>
          <w:sz w:val="22"/>
          <w:szCs w:val="22"/>
        </w:rPr>
        <w:t>, a zastosowanie mają obowiązujące przepisy prawa.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7" w:right="1417" w:gutter="0" w:header="0" w:top="1417" w:footer="708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Ubuntu">
    <w:charset w:val="ee" w:characterSet="windows-1250"/>
    <w:family w:val="swiss"/>
    <w:pitch w:val="variable"/>
  </w:font>
  <w:font w:name="Century Gothic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69238322"/>
      <w:docPartObj>
        <w:docPartGallery w:val="Page Numbers (Bottom of Page)"/>
        <w:docPartUnique w:val="true"/>
        <w:docPartGallery w:val="Page Numbers (Top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69238322"/>
      <w:docPartObj>
        <w:docPartGallery w:val="Page Numbers (Bottom of Page)"/>
        <w:docPartUnique w:val="true"/>
        <w:docPartGallery w:val="Page Numbers (Top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lowerLetter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)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lowerLetter"/>
      <w:lvlText w:val="%1."/>
      <w:lvlJc w:val="start"/>
      <w:pPr>
        <w:tabs>
          <w:tab w:val="num" w:pos="0"/>
        </w:tabs>
        <w:ind w:start="927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3"/>
      <w:numFmt w:val="upperRoman"/>
      <w:lvlText w:val="%3."/>
      <w:lvlJc w:val="start"/>
      <w:pPr>
        <w:tabs>
          <w:tab w:val="num" w:pos="0"/>
        </w:tabs>
        <w:ind w:start="2700" w:hanging="72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"/>
      <w:numFmt w:val="lowerLetter"/>
      <w:lvlText w:val="%1.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0">
    <w:lvl w:ilvl="0">
      <w:start w:val="3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3">
    <w:lvl w:ilvl="0">
      <w:start w:val="1"/>
      <w:numFmt w:val="lowerLetter"/>
      <w:lvlText w:val="%1."/>
      <w:lvlJc w:val="start"/>
      <w:pPr>
        <w:tabs>
          <w:tab w:val="num" w:pos="0"/>
        </w:tabs>
        <w:ind w:start="1080" w:hanging="360"/>
      </w:pPr>
      <w:rPr>
        <w:b w:val="false"/>
        <w:sz w:val="24"/>
        <w:szCs w:val="24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01ea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01ea0"/>
    <w:rPr>
      <w:b/>
      <w:bCs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1015f2"/>
    <w:rPr>
      <w:color w:val="605E5C"/>
      <w:shd w:fill="E1DFDD" w:val="clear"/>
    </w:rPr>
  </w:style>
  <w:style w:type="character" w:styleId="NagwekZnak" w:customStyle="1">
    <w:name w:val="Nagłówek Znak"/>
    <w:basedOn w:val="DefaultParagraphFont"/>
    <w:uiPriority w:val="99"/>
    <w:qFormat/>
    <w:rsid w:val="00556de0"/>
    <w:rPr/>
  </w:style>
  <w:style w:type="character" w:styleId="StopkaZnak" w:customStyle="1">
    <w:name w:val="Stopka Znak"/>
    <w:basedOn w:val="DefaultParagraphFont"/>
    <w:uiPriority w:val="99"/>
    <w:qFormat/>
    <w:rsid w:val="00d27709"/>
    <w:rPr/>
  </w:style>
  <w:style w:type="character" w:styleId="markedcontent" w:customStyle="1">
    <w:name w:val="markedcontent"/>
    <w:basedOn w:val="DefaultParagraphFont"/>
    <w:qFormat/>
    <w:rsid w:val="00297dc0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a1578"/>
    <w:rPr>
      <w:rFonts w:ascii="Tahoma" w:hAnsi="Tahoma" w:cs="Tahoma"/>
      <w:sz w:val="16"/>
      <w:szCs w:val="16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901ea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efault" w:customStyle="1">
    <w:name w:val="Default"/>
    <w:qFormat/>
    <w:rsid w:val="00901ea0"/>
    <w:pPr>
      <w:widowControl/>
      <w:suppressAutoHyphens w:val="true"/>
      <w:bidi w:val="0"/>
      <w:spacing w:lineRule="auto" w:line="240" w:before="0" w:after="0"/>
      <w:jc w:val="start"/>
    </w:pPr>
    <w:rPr>
      <w:rFonts w:ascii="Ubuntu" w:hAnsi="Ubuntu" w:eastAsia="Calibri" w:cs="Ubuntu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34"/>
    <w:qFormat/>
    <w:rsid w:val="00687126"/>
    <w:pPr>
      <w:spacing w:before="0" w:after="160"/>
      <w:ind w:star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56de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2770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a15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Application>LibreOffice/26.2.1.2$Windows_X86_64 LibreOffice_project/620$Build-2</Application>
  <AppVersion>15.0000</AppVersion>
  <Pages>9</Pages>
  <Words>2111</Words>
  <Characters>13446</Characters>
  <CharactersWithSpaces>15490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2022-06-14T17:27:00Z</dcterms:created>
  <dc:creator>Agnieszka</dc:creator>
  <dc:description/>
  <dc:language>pl-PL</dc:language>
  <cp:lastModifiedBy/>
  <cp:lastPrinted>2026-02-16T10:10:00Z</cp:lastPrinted>
  <dcterms:modified xsi:type="dcterms:W3CDTF">2026-09-25T15:12:35Z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